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8B" w:rsidRDefault="00FD648B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FD648B" w:rsidRDefault="00FD648B">
      <w:pPr>
        <w:pStyle w:val="GvdeMetni"/>
        <w:rPr>
          <w:rFonts w:ascii="Times New Roman"/>
          <w:sz w:val="20"/>
        </w:rPr>
      </w:pPr>
    </w:p>
    <w:p w:rsidR="00FD648B" w:rsidRDefault="00FD648B">
      <w:pPr>
        <w:pStyle w:val="GvdeMetni"/>
        <w:spacing w:before="2"/>
        <w:rPr>
          <w:rFonts w:ascii="Times New Roman"/>
          <w:sz w:val="23"/>
        </w:rPr>
      </w:pPr>
    </w:p>
    <w:p w:rsidR="00FD648B" w:rsidRDefault="004C5C33">
      <w:pPr>
        <w:pStyle w:val="GvdeMetni"/>
        <w:spacing w:line="670" w:lineRule="exact"/>
        <w:ind w:left="844" w:right="790"/>
        <w:jc w:val="center"/>
      </w:pPr>
      <w:r>
        <w:t>SINIF</w:t>
      </w:r>
      <w:r>
        <w:rPr>
          <w:spacing w:val="-6"/>
        </w:rPr>
        <w:t xml:space="preserve"> </w:t>
      </w:r>
      <w:r>
        <w:t>REHBERLİK</w:t>
      </w:r>
      <w:r>
        <w:rPr>
          <w:spacing w:val="-5"/>
        </w:rPr>
        <w:t xml:space="preserve"> </w:t>
      </w:r>
      <w:r>
        <w:t>DOSYASINDA</w:t>
      </w:r>
    </w:p>
    <w:p w:rsidR="00FD648B" w:rsidRDefault="004C5C33">
      <w:pPr>
        <w:pStyle w:val="GvdeMetni"/>
        <w:spacing w:before="55"/>
        <w:ind w:left="844" w:right="790"/>
        <w:jc w:val="center"/>
      </w:pPr>
      <w:r>
        <w:t>BULUNMASI</w:t>
      </w:r>
      <w:r>
        <w:rPr>
          <w:spacing w:val="-4"/>
        </w:rPr>
        <w:t xml:space="preserve"> </w:t>
      </w:r>
      <w:r>
        <w:t>GEREKEN EVRAKLAR</w:t>
      </w:r>
    </w:p>
    <w:p w:rsidR="00A83B01" w:rsidRDefault="00A83B01">
      <w:pPr>
        <w:pStyle w:val="GvdeMetni"/>
        <w:spacing w:before="55"/>
        <w:ind w:left="844" w:right="790"/>
        <w:jc w:val="center"/>
      </w:pP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1. Kapak Sayfası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2. Sınıf Rehberlik Dosyasında Bulunması Gereken Evraklar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 xml:space="preserve">3. MEB Rehberlik ve Psikolojik Danışma Hizmetleri Yönetmeliği “Sınıf Rehber 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Öğretmenlerinin Görevleri”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4. Sınıf Rehberlik Planı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5. Sınıf Öğrenci Listesi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6. Sınıf Oturma Planı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7. Sınıf İçi Öğrenci Görev Dağılım Listesi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8. Sosyal Kulüp Öğrenci Sınıf Dağılım Listesi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9. Veli-Öğrenci İletişim Bilgileri Listesi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10. Proje Ödevi Tercih Dilekçesi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11. Öğrenci Proje Ödevi Dağılım Listesi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12. Sınıf Risk Haritası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13. Öğrenci Bilgi Formu</w:t>
      </w:r>
    </w:p>
    <w:p w:rsidR="00A83B01" w:rsidRPr="00A83B01" w:rsidRDefault="00A83B01" w:rsidP="00F1474B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14. Öğrencilere Uy</w:t>
      </w:r>
      <w:r w:rsidR="00F1474B">
        <w:rPr>
          <w:sz w:val="28"/>
        </w:rPr>
        <w:t>gulanan Diğer Form ve Evraklar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15. Veli Görüşme Formu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16. Ev Ziyaret Formu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28"/>
        </w:rPr>
      </w:pPr>
      <w:r w:rsidRPr="00A83B01">
        <w:rPr>
          <w:sz w:val="28"/>
        </w:rPr>
        <w:t>17. Faaliyet Raporları (I. Dönem sonu ve II. Dönem Sonu Raporları</w:t>
      </w:r>
      <w:r>
        <w:rPr>
          <w:sz w:val="28"/>
        </w:rPr>
        <w:t>)</w:t>
      </w:r>
    </w:p>
    <w:p w:rsidR="00A83B01" w:rsidRPr="00A83B01" w:rsidRDefault="00A83B01" w:rsidP="00A83B01">
      <w:pPr>
        <w:pStyle w:val="GvdeMetni"/>
        <w:spacing w:before="55"/>
        <w:ind w:left="844" w:right="790"/>
        <w:rPr>
          <w:sz w:val="36"/>
        </w:rPr>
      </w:pPr>
    </w:p>
    <w:p w:rsidR="00FD648B" w:rsidRPr="00A83B01" w:rsidRDefault="00FD648B" w:rsidP="00A83B01">
      <w:pPr>
        <w:pStyle w:val="GvdeMetni"/>
        <w:spacing w:before="3"/>
        <w:rPr>
          <w:sz w:val="2"/>
        </w:rPr>
      </w:pPr>
    </w:p>
    <w:sectPr w:rsidR="00FD648B" w:rsidRPr="00A83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580" w:right="1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05" w:rsidRDefault="00E97B05" w:rsidP="00A83B01">
      <w:r>
        <w:separator/>
      </w:r>
    </w:p>
  </w:endnote>
  <w:endnote w:type="continuationSeparator" w:id="0">
    <w:p w:rsidR="00E97B05" w:rsidRDefault="00E97B05" w:rsidP="00A8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A83B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A83B0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A83B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05" w:rsidRDefault="00E97B05" w:rsidP="00A83B01">
      <w:r>
        <w:separator/>
      </w:r>
    </w:p>
  </w:footnote>
  <w:footnote w:type="continuationSeparator" w:id="0">
    <w:p w:rsidR="00E97B05" w:rsidRDefault="00E97B05" w:rsidP="00A8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E97B0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735" o:spid="_x0000_s2050" type="#_x0000_t75" style="position:absolute;margin-left:0;margin-top:0;width:462.35pt;height:462.3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E97B0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736" o:spid="_x0000_s2051" type="#_x0000_t75" style="position:absolute;margin-left:0;margin-top:0;width:462.35pt;height:462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01" w:rsidRDefault="00E97B0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734" o:spid="_x0000_s2049" type="#_x0000_t75" style="position:absolute;margin-left:0;margin-top:0;width:462.35pt;height:462.3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094C"/>
    <w:multiLevelType w:val="hybridMultilevel"/>
    <w:tmpl w:val="CD3C2F0E"/>
    <w:lvl w:ilvl="0" w:tplc="AF1C7BCE">
      <w:start w:val="1"/>
      <w:numFmt w:val="decimal"/>
      <w:lvlText w:val="%1."/>
      <w:lvlJc w:val="left"/>
      <w:pPr>
        <w:ind w:left="717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EFC85C04">
      <w:numFmt w:val="bullet"/>
      <w:lvlText w:val="•"/>
      <w:lvlJc w:val="left"/>
      <w:pPr>
        <w:ind w:left="1549" w:hanging="360"/>
      </w:pPr>
      <w:rPr>
        <w:rFonts w:hint="default"/>
        <w:lang w:val="tr-TR" w:eastAsia="en-US" w:bidi="ar-SA"/>
      </w:rPr>
    </w:lvl>
    <w:lvl w:ilvl="2" w:tplc="8BDA9A6A">
      <w:numFmt w:val="bullet"/>
      <w:lvlText w:val="•"/>
      <w:lvlJc w:val="left"/>
      <w:pPr>
        <w:ind w:left="2378" w:hanging="360"/>
      </w:pPr>
      <w:rPr>
        <w:rFonts w:hint="default"/>
        <w:lang w:val="tr-TR" w:eastAsia="en-US" w:bidi="ar-SA"/>
      </w:rPr>
    </w:lvl>
    <w:lvl w:ilvl="3" w:tplc="5948B822">
      <w:numFmt w:val="bullet"/>
      <w:lvlText w:val="•"/>
      <w:lvlJc w:val="left"/>
      <w:pPr>
        <w:ind w:left="3207" w:hanging="360"/>
      </w:pPr>
      <w:rPr>
        <w:rFonts w:hint="default"/>
        <w:lang w:val="tr-TR" w:eastAsia="en-US" w:bidi="ar-SA"/>
      </w:rPr>
    </w:lvl>
    <w:lvl w:ilvl="4" w:tplc="68DE7FE6">
      <w:numFmt w:val="bullet"/>
      <w:lvlText w:val="•"/>
      <w:lvlJc w:val="left"/>
      <w:pPr>
        <w:ind w:left="4037" w:hanging="360"/>
      </w:pPr>
      <w:rPr>
        <w:rFonts w:hint="default"/>
        <w:lang w:val="tr-TR" w:eastAsia="en-US" w:bidi="ar-SA"/>
      </w:rPr>
    </w:lvl>
    <w:lvl w:ilvl="5" w:tplc="FAECF940">
      <w:numFmt w:val="bullet"/>
      <w:lvlText w:val="•"/>
      <w:lvlJc w:val="left"/>
      <w:pPr>
        <w:ind w:left="4866" w:hanging="360"/>
      </w:pPr>
      <w:rPr>
        <w:rFonts w:hint="default"/>
        <w:lang w:val="tr-TR" w:eastAsia="en-US" w:bidi="ar-SA"/>
      </w:rPr>
    </w:lvl>
    <w:lvl w:ilvl="6" w:tplc="AEAC6BC6">
      <w:numFmt w:val="bullet"/>
      <w:lvlText w:val="•"/>
      <w:lvlJc w:val="left"/>
      <w:pPr>
        <w:ind w:left="5695" w:hanging="360"/>
      </w:pPr>
      <w:rPr>
        <w:rFonts w:hint="default"/>
        <w:lang w:val="tr-TR" w:eastAsia="en-US" w:bidi="ar-SA"/>
      </w:rPr>
    </w:lvl>
    <w:lvl w:ilvl="7" w:tplc="06321D6E">
      <w:numFmt w:val="bullet"/>
      <w:lvlText w:val="•"/>
      <w:lvlJc w:val="left"/>
      <w:pPr>
        <w:ind w:left="6524" w:hanging="360"/>
      </w:pPr>
      <w:rPr>
        <w:rFonts w:hint="default"/>
        <w:lang w:val="tr-TR" w:eastAsia="en-US" w:bidi="ar-SA"/>
      </w:rPr>
    </w:lvl>
    <w:lvl w:ilvl="8" w:tplc="6E7C208C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648B"/>
    <w:rsid w:val="004C5C33"/>
    <w:rsid w:val="006F7742"/>
    <w:rsid w:val="00A83B01"/>
    <w:rsid w:val="00E97B05"/>
    <w:rsid w:val="00F1474B"/>
    <w:rsid w:val="00F667B6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56"/>
      <w:szCs w:val="5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3B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3B0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3B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3B01"/>
    <w:rPr>
      <w:rFonts w:ascii="Calibri" w:eastAsia="Calibri" w:hAnsi="Calibri" w:cs="Calibri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56"/>
      <w:szCs w:val="5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3B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3B0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3B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3B0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2025-09-09T08:48:00Z</dcterms:created>
  <dcterms:modified xsi:type="dcterms:W3CDTF">2025-09-09T08:48:00Z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